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Pr="00F55FA9" w:rsidRDefault="00F55FA9" w:rsidP="00F55FA9">
      <w:pPr>
        <w:jc w:val="center"/>
        <w:rPr>
          <w:b/>
          <w:bCs/>
          <w:sz w:val="36"/>
          <w:szCs w:val="36"/>
        </w:rPr>
      </w:pPr>
      <w:r w:rsidRPr="00F55FA9">
        <w:rPr>
          <w:b/>
          <w:bCs/>
          <w:sz w:val="36"/>
          <w:szCs w:val="36"/>
        </w:rPr>
        <w:t>Консультация для педагогов:</w:t>
      </w:r>
    </w:p>
    <w:p w:rsidR="00F55FA9" w:rsidRDefault="00F55FA9" w:rsidP="00944187">
      <w:pPr>
        <w:rPr>
          <w:b/>
          <w:bCs/>
          <w:sz w:val="24"/>
          <w:szCs w:val="24"/>
        </w:rPr>
      </w:pPr>
    </w:p>
    <w:p w:rsidR="00F55FA9" w:rsidRDefault="00F55FA9" w:rsidP="00944187">
      <w:pPr>
        <w:rPr>
          <w:b/>
          <w:bCs/>
          <w:sz w:val="24"/>
          <w:szCs w:val="24"/>
        </w:rPr>
      </w:pPr>
    </w:p>
    <w:p w:rsidR="00F55FA9" w:rsidRPr="00F55FA9" w:rsidRDefault="00F55FA9" w:rsidP="00F55FA9">
      <w:pPr>
        <w:jc w:val="center"/>
        <w:rPr>
          <w:b/>
          <w:bCs/>
          <w:sz w:val="36"/>
          <w:szCs w:val="36"/>
        </w:rPr>
      </w:pPr>
      <w:r w:rsidRPr="00F55FA9">
        <w:rPr>
          <w:b/>
          <w:bCs/>
          <w:sz w:val="36"/>
          <w:szCs w:val="36"/>
        </w:rPr>
        <w:t>«Информационно-коммуникационные технологии (ИКТ) в дошкольном образовании»</w:t>
      </w: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944187">
      <w:pPr>
        <w:rPr>
          <w:b/>
          <w:bCs/>
          <w:sz w:val="24"/>
          <w:szCs w:val="24"/>
        </w:rPr>
      </w:pPr>
    </w:p>
    <w:p w:rsidR="00F55FA9" w:rsidRDefault="00F55FA9" w:rsidP="00F55FA9">
      <w:pPr>
        <w:jc w:val="right"/>
        <w:rPr>
          <w:b/>
          <w:bCs/>
          <w:sz w:val="24"/>
          <w:szCs w:val="24"/>
        </w:rPr>
      </w:pPr>
      <w:r>
        <w:rPr>
          <w:b/>
          <w:bCs/>
          <w:sz w:val="24"/>
          <w:szCs w:val="24"/>
        </w:rPr>
        <w:t xml:space="preserve">                                                               Старший воспитатель – Сорокина С.А.</w:t>
      </w:r>
    </w:p>
    <w:p w:rsidR="00944187" w:rsidRPr="00944187" w:rsidRDefault="00944187" w:rsidP="00944187">
      <w:pPr>
        <w:rPr>
          <w:b/>
          <w:bCs/>
          <w:sz w:val="24"/>
          <w:szCs w:val="24"/>
        </w:rPr>
      </w:pPr>
      <w:r w:rsidRPr="00944187">
        <w:rPr>
          <w:b/>
          <w:bCs/>
          <w:sz w:val="24"/>
          <w:szCs w:val="24"/>
        </w:rPr>
        <w:lastRenderedPageBreak/>
        <w:t>Информационно-коммуникационные технологии (ИКТ) в дошкольном образовании</w:t>
      </w:r>
    </w:p>
    <w:p w:rsidR="00944187" w:rsidRPr="00944187" w:rsidRDefault="00944187" w:rsidP="00944187">
      <w:pPr>
        <w:rPr>
          <w:sz w:val="24"/>
          <w:szCs w:val="24"/>
        </w:rPr>
      </w:pPr>
      <w:r w:rsidRPr="00944187">
        <w:rPr>
          <w:sz w:val="24"/>
          <w:szCs w:val="24"/>
        </w:rPr>
        <w:t>Информационно-коммуникационные технологии на сегодняшний день представляют собой неотъемлемую часть современного дошкольного образования. Педагогу доступен довольно разнообразный выбор ИКТ для осуществления образовательного процесса. Это компьютер, использование сети интернет, телевизор, видео, DVD, различного рода мультимедиа - и аудиовизуальное оборудование. Использования компьютера в качестве средства формирования личности, для развития и реализации творческих способностей ребенка, диагностики, обогащения и коррекции интеллектуальной сферы дошкольника - позволяет расширить границы педагогических возможностей в дошкольном образовании, создает фундамент для воспитания информационной культуры и взаимодействия детей с компьютерными обучающими программами.</w:t>
      </w:r>
      <w:r w:rsidRPr="00944187">
        <w:rPr>
          <w:sz w:val="24"/>
          <w:szCs w:val="24"/>
        </w:rPr>
        <w:br/>
        <w:t>Процесс информатизации в учреждениях дошкольного образования обусловлен требованием современного развивающегося общества. Компьютеры, в т. ч. планшетные, применяемые в образовательном процессе, представляют собой не игровое или отдельное обучающее устройство, а информационную систему универсального характера, объединяющуюся и активно взаимодействующую со всеми направлениями образовательного процесса, способную обогатить и совершенствовать образовательную среду детского сада в целом [3].</w:t>
      </w:r>
    </w:p>
    <w:p w:rsidR="00944187" w:rsidRPr="00944187" w:rsidRDefault="00944187" w:rsidP="00944187">
      <w:pPr>
        <w:rPr>
          <w:b/>
          <w:bCs/>
          <w:sz w:val="24"/>
          <w:szCs w:val="24"/>
        </w:rPr>
      </w:pPr>
      <w:r w:rsidRPr="00944187">
        <w:rPr>
          <w:b/>
          <w:bCs/>
          <w:sz w:val="24"/>
          <w:szCs w:val="24"/>
        </w:rPr>
        <w:t>Информационно-образовательные технологии в логике ФГОС</w:t>
      </w:r>
    </w:p>
    <w:p w:rsidR="00944187" w:rsidRPr="00944187" w:rsidRDefault="00944187" w:rsidP="00944187">
      <w:pPr>
        <w:rPr>
          <w:sz w:val="24"/>
          <w:szCs w:val="24"/>
        </w:rPr>
      </w:pPr>
      <w:r w:rsidRPr="00944187">
        <w:rPr>
          <w:sz w:val="24"/>
          <w:szCs w:val="24"/>
        </w:rPr>
        <w:t>В соответствии с ФГОС к требованиям к развивающей предметно-пространственной среде использование компьютерных обучающих игр в работе дошкольных учреждений:</w:t>
      </w:r>
      <w:r w:rsidRPr="00944187">
        <w:rPr>
          <w:sz w:val="24"/>
          <w:szCs w:val="24"/>
        </w:rPr>
        <w:br/>
        <w:t>• Обеспечивает возможность совместной деятельности детей (в том числе детей разного возраста), а также возможность для уединения.</w:t>
      </w:r>
      <w:r w:rsidRPr="00944187">
        <w:rPr>
          <w:sz w:val="24"/>
          <w:szCs w:val="24"/>
        </w:rPr>
        <w:br/>
        <w:t>• Обучающие компьютерные игры доступны для воспитанников, в том числе для детей с ограниченными возможностями здоровья и детей-инвалидов. Что актуально с точки зрения инклюзивного образования.</w:t>
      </w:r>
      <w:r w:rsidRPr="00944187">
        <w:rPr>
          <w:sz w:val="24"/>
          <w:szCs w:val="24"/>
        </w:rPr>
        <w:br/>
        <w:t>• ПК-игры позволяют задавать уровень сложности для выполнения игрового упражнения в соответствии с возрастными особенностями ребенка.</w:t>
      </w:r>
      <w:r w:rsidRPr="00944187">
        <w:rPr>
          <w:sz w:val="24"/>
          <w:szCs w:val="24"/>
        </w:rPr>
        <w:br/>
        <w:t>• Взаимодействие с игровыми тренажерами вовлекает детей в познавательно-игровую деятельность и предоставляет возможность для самовыражения.</w:t>
      </w:r>
      <w:r w:rsidRPr="00944187">
        <w:rPr>
          <w:sz w:val="24"/>
          <w:szCs w:val="24"/>
        </w:rPr>
        <w:br/>
        <w:t>• Компьютерные программы вызывают у детей положительные эмоции, успешное прохождение игрового уровня, а в случае ошибки возможность переиграть, обеспечивают эмоциональное благополучие во взаимодействии с ПК-играми [1].</w:t>
      </w:r>
    </w:p>
    <w:p w:rsidR="00944187" w:rsidRDefault="00944187" w:rsidP="00944187">
      <w:pPr>
        <w:spacing w:after="0"/>
        <w:rPr>
          <w:b/>
          <w:bCs/>
          <w:sz w:val="24"/>
          <w:szCs w:val="24"/>
        </w:rPr>
      </w:pPr>
      <w:r w:rsidRPr="00944187">
        <w:rPr>
          <w:b/>
          <w:bCs/>
          <w:sz w:val="24"/>
          <w:szCs w:val="24"/>
        </w:rPr>
        <w:t>Использование компьютерных игр в образовательном процессе ДОУ</w:t>
      </w:r>
    </w:p>
    <w:p w:rsidR="00944187" w:rsidRPr="00944187" w:rsidRDefault="00944187" w:rsidP="00944187">
      <w:pPr>
        <w:spacing w:after="0"/>
        <w:rPr>
          <w:b/>
          <w:bCs/>
          <w:sz w:val="24"/>
          <w:szCs w:val="24"/>
        </w:rPr>
      </w:pPr>
      <w:r w:rsidRPr="00944187">
        <w:rPr>
          <w:sz w:val="24"/>
          <w:szCs w:val="24"/>
        </w:rPr>
        <w:t>Компьютерные игры целесообразно применять в групповой деятельности, в связи с их неоспоримыми преимуществами:</w:t>
      </w:r>
      <w:r w:rsidRPr="00944187">
        <w:rPr>
          <w:sz w:val="24"/>
          <w:szCs w:val="24"/>
        </w:rPr>
        <w:br/>
        <w:t>• Стимуляция интереса и мотивации к активной деятельности, возможность привлечь пассивных детей. </w:t>
      </w:r>
      <w:r w:rsidRPr="00944187">
        <w:rPr>
          <w:sz w:val="24"/>
          <w:szCs w:val="24"/>
        </w:rPr>
        <w:br/>
        <w:t>• Активизация познавательного интереса и интеллектуальных процессов (анализ, синтез и т. д.)</w:t>
      </w:r>
      <w:r w:rsidRPr="00944187">
        <w:rPr>
          <w:sz w:val="24"/>
          <w:szCs w:val="24"/>
        </w:rPr>
        <w:br/>
        <w:t>• Реализация диагностической, развивающей и обучающей функций.</w:t>
      </w:r>
      <w:r w:rsidRPr="00944187">
        <w:rPr>
          <w:sz w:val="24"/>
          <w:szCs w:val="24"/>
        </w:rPr>
        <w:br/>
        <w:t>• Систематизация, углубление и обобщение знаний дошкольников. </w:t>
      </w:r>
      <w:r w:rsidRPr="00944187">
        <w:rPr>
          <w:sz w:val="24"/>
          <w:szCs w:val="24"/>
        </w:rPr>
        <w:br/>
        <w:t>• Побуждение к самостоятельным творческим играм.</w:t>
      </w:r>
      <w:r w:rsidRPr="00944187">
        <w:rPr>
          <w:sz w:val="24"/>
          <w:szCs w:val="24"/>
        </w:rPr>
        <w:br/>
        <w:t xml:space="preserve">Эффективной формой работы является использование одного или нескольких компьютеров в </w:t>
      </w:r>
      <w:r w:rsidRPr="00944187">
        <w:rPr>
          <w:sz w:val="24"/>
          <w:szCs w:val="24"/>
        </w:rPr>
        <w:lastRenderedPageBreak/>
        <w:t>индивидуальной работе с детьми. Педагог имеет возможность предложить ребенку индивидуальную серию занятия, направленную на коррекцию его типичных ошибок. Кроме того, существует возможность предлагать задания более высокого уровня сложности наиболее успешным дошкольникам.</w:t>
      </w:r>
      <w:r w:rsidRPr="00944187">
        <w:rPr>
          <w:sz w:val="24"/>
          <w:szCs w:val="24"/>
        </w:rPr>
        <w:br/>
        <w:t>В дошкольных учреждениях реализующих адаптированную образовательную программу для детей с нарушениями речи, учителя-логопеды могут использовать в своей практике специализированные компьютерные технологии в процессе коррекционной работы. Основные направления, позволяющие применять компьютерные игры, в коррекционной работе с детьми, имеющими речевые нарушения:</w:t>
      </w:r>
      <w:r w:rsidRPr="00944187">
        <w:rPr>
          <w:sz w:val="24"/>
          <w:szCs w:val="24"/>
        </w:rPr>
        <w:br/>
        <w:t>• Индивидуализация обучения детей с нарушениями речи.</w:t>
      </w:r>
      <w:r w:rsidRPr="00944187">
        <w:rPr>
          <w:sz w:val="24"/>
          <w:szCs w:val="24"/>
        </w:rPr>
        <w:br/>
        <w:t>• Развитие артикуляционной моторики.</w:t>
      </w:r>
      <w:r w:rsidRPr="00944187">
        <w:rPr>
          <w:sz w:val="24"/>
          <w:szCs w:val="24"/>
        </w:rPr>
        <w:br/>
        <w:t>• Формирование лексико-грамматических средств языка.</w:t>
      </w:r>
      <w:r w:rsidRPr="00944187">
        <w:rPr>
          <w:sz w:val="24"/>
          <w:szCs w:val="24"/>
        </w:rPr>
        <w:br/>
        <w:t>• Развитие фонематического восприятия, овладение элементами грамоты</w:t>
      </w:r>
      <w:r w:rsidRPr="00944187">
        <w:rPr>
          <w:sz w:val="24"/>
          <w:szCs w:val="24"/>
        </w:rPr>
        <w:br/>
        <w:t>• Формирование произношения.</w:t>
      </w:r>
      <w:r w:rsidRPr="00944187">
        <w:rPr>
          <w:sz w:val="24"/>
          <w:szCs w:val="24"/>
        </w:rPr>
        <w:br/>
        <w:t>Преодоление трудностей системного речевого развития, как правило, процесс длительный, характеризующийся сложной динамикой. Поэтому, применение в коррекционно - образовательном процессе специализированных компьютерных технологий, учитывающих закономерности и особенности развития детей с общим недоразвитием речи, позволяет повысить эффективность коррекционного обучения, активизировать процесс подготовки к обучению грамоте, избежать возникновения вторичных нарушений в овладении письменной речи.</w:t>
      </w:r>
    </w:p>
    <w:p w:rsidR="00944187" w:rsidRPr="00944187" w:rsidRDefault="00944187" w:rsidP="00944187">
      <w:pPr>
        <w:spacing w:after="0"/>
        <w:rPr>
          <w:sz w:val="24"/>
          <w:szCs w:val="24"/>
        </w:rPr>
      </w:pPr>
      <w:r w:rsidRPr="00944187">
        <w:rPr>
          <w:b/>
          <w:bCs/>
          <w:sz w:val="24"/>
          <w:szCs w:val="24"/>
        </w:rPr>
        <w:t>Заключение</w:t>
      </w:r>
    </w:p>
    <w:p w:rsidR="00B57E4A" w:rsidRDefault="00944187" w:rsidP="00944187">
      <w:pPr>
        <w:spacing w:after="0"/>
        <w:rPr>
          <w:sz w:val="24"/>
          <w:szCs w:val="24"/>
        </w:rPr>
      </w:pPr>
      <w:r w:rsidRPr="00944187">
        <w:rPr>
          <w:sz w:val="24"/>
          <w:szCs w:val="24"/>
        </w:rPr>
        <w:t xml:space="preserve">Игровая деятельность занимает ведущее место в жизни дошкольника. Компьютерные игры обучающего характера, где обучающая задача скрывается от играющих детей за интерактивностью и решением игровых задач, на сегодняшний день является актуальным направлением в системе дошкольного образования. Если изначально ребенка привлекает сам процесс игры, то уже в старшем дошкольном возрасте на первый план выходит достижение поставленной в игре цели и получение высоких результатов. Таким образом, компьютерные игры с научно-методической точки зрения выступают как средство развития способностей (творческих, интеллектуальных и т. д.), как форма организации детской деятельности (игровая, учебная) и как вид деятельности (познавательная, художественно-эстетическая и т. д.). Педагогу необходимо своевременно планировать и использовать компьютерные игры в образовательном процессе ДОУ, особое </w:t>
      </w:r>
      <w:proofErr w:type="gramStart"/>
      <w:r w:rsidRPr="00944187">
        <w:rPr>
          <w:sz w:val="24"/>
          <w:szCs w:val="24"/>
        </w:rPr>
        <w:t>внимание</w:t>
      </w:r>
      <w:proofErr w:type="gramEnd"/>
      <w:r w:rsidRPr="00944187">
        <w:rPr>
          <w:sz w:val="24"/>
          <w:szCs w:val="24"/>
        </w:rPr>
        <w:t xml:space="preserve"> уделяя соблюдению требований </w:t>
      </w:r>
      <w:proofErr w:type="spellStart"/>
      <w:r w:rsidRPr="00944187">
        <w:rPr>
          <w:sz w:val="24"/>
          <w:szCs w:val="24"/>
        </w:rPr>
        <w:t>СаНпиН</w:t>
      </w:r>
      <w:proofErr w:type="spellEnd"/>
      <w:r w:rsidRPr="00944187">
        <w:rPr>
          <w:sz w:val="24"/>
          <w:szCs w:val="24"/>
        </w:rPr>
        <w:t xml:space="preserve"> и целесообразности использования игр данного типа [2].</w:t>
      </w:r>
      <w:r>
        <w:rPr>
          <w:sz w:val="24"/>
          <w:szCs w:val="24"/>
        </w:rPr>
        <w:br/>
      </w:r>
      <w:r w:rsidRPr="00944187">
        <w:rPr>
          <w:b/>
          <w:bCs/>
          <w:sz w:val="24"/>
          <w:szCs w:val="24"/>
        </w:rPr>
        <w:t>Список литературы:</w:t>
      </w:r>
      <w:r w:rsidRPr="00944187">
        <w:rPr>
          <w:sz w:val="24"/>
          <w:szCs w:val="24"/>
        </w:rPr>
        <w:br/>
        <w:t xml:space="preserve">1. Приказ № 1155 от 17.10.2013 «Об утверждении федерального государственного образовательного стандарта дошкольного образования» //: </w:t>
      </w:r>
      <w:proofErr w:type="gramStart"/>
      <w:r w:rsidRPr="00944187">
        <w:rPr>
          <w:sz w:val="24"/>
          <w:szCs w:val="24"/>
        </w:rPr>
        <w:t>Федеральный Институт Развития Образования (раздел:</w:t>
      </w:r>
      <w:proofErr w:type="gramEnd"/>
      <w:r w:rsidRPr="00944187">
        <w:rPr>
          <w:sz w:val="24"/>
          <w:szCs w:val="24"/>
        </w:rPr>
        <w:t xml:space="preserve"> </w:t>
      </w:r>
      <w:proofErr w:type="gramStart"/>
      <w:r w:rsidRPr="00944187">
        <w:rPr>
          <w:sz w:val="24"/>
          <w:szCs w:val="24"/>
        </w:rPr>
        <w:t>ФГОС ДО – нормативные документы) </w:t>
      </w:r>
      <w:r w:rsidRPr="00944187">
        <w:rPr>
          <w:sz w:val="24"/>
          <w:szCs w:val="24"/>
        </w:rPr>
        <w:br/>
        <w:t>2.</w:t>
      </w:r>
      <w:proofErr w:type="gramEnd"/>
      <w:r w:rsidRPr="00944187">
        <w:rPr>
          <w:sz w:val="24"/>
          <w:szCs w:val="24"/>
        </w:rPr>
        <w:t xml:space="preserve"> Губанова Н.Ф. Игровая деятельность в детском саду. Программа и методические рекомендации. – М.: Мозаика-Синтез, 2006. – 128 с.</w:t>
      </w:r>
      <w:r w:rsidRPr="00944187">
        <w:rPr>
          <w:sz w:val="24"/>
          <w:szCs w:val="24"/>
        </w:rPr>
        <w:br/>
        <w:t xml:space="preserve">3. Карабанова О.А.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944187">
        <w:rPr>
          <w:sz w:val="24"/>
          <w:szCs w:val="24"/>
        </w:rPr>
        <w:t>Радионова</w:t>
      </w:r>
      <w:proofErr w:type="spellEnd"/>
      <w:r w:rsidRPr="00944187">
        <w:rPr>
          <w:sz w:val="24"/>
          <w:szCs w:val="24"/>
        </w:rPr>
        <w:t xml:space="preserve">, П.Д. Рабинович, Е.М. </w:t>
      </w:r>
      <w:proofErr w:type="spellStart"/>
      <w:r w:rsidRPr="00944187">
        <w:rPr>
          <w:sz w:val="24"/>
          <w:szCs w:val="24"/>
        </w:rPr>
        <w:t>Марич</w:t>
      </w:r>
      <w:proofErr w:type="spellEnd"/>
      <w:r w:rsidRPr="00944187">
        <w:rPr>
          <w:sz w:val="24"/>
          <w:szCs w:val="24"/>
        </w:rPr>
        <w:t xml:space="preserve">. – М.: </w:t>
      </w:r>
      <w:proofErr w:type="gramStart"/>
      <w:r w:rsidRPr="00944187">
        <w:rPr>
          <w:sz w:val="24"/>
          <w:szCs w:val="24"/>
        </w:rPr>
        <w:t>Федеральный</w:t>
      </w:r>
      <w:proofErr w:type="gramEnd"/>
      <w:r w:rsidRPr="00944187">
        <w:rPr>
          <w:sz w:val="24"/>
          <w:szCs w:val="24"/>
        </w:rPr>
        <w:t xml:space="preserve"> </w:t>
      </w:r>
      <w:proofErr w:type="spellStart"/>
      <w:r w:rsidRPr="00944187">
        <w:rPr>
          <w:sz w:val="24"/>
          <w:szCs w:val="24"/>
        </w:rPr>
        <w:t>инсти</w:t>
      </w:r>
      <w:proofErr w:type="spellEnd"/>
      <w:r w:rsidRPr="00944187">
        <w:rPr>
          <w:sz w:val="24"/>
          <w:szCs w:val="24"/>
        </w:rPr>
        <w:t>-тут развития образования, 2014. – 96 с.</w:t>
      </w:r>
      <w:bookmarkStart w:id="0" w:name="_GoBack"/>
      <w:bookmarkEnd w:id="0"/>
    </w:p>
    <w:sectPr w:rsidR="00B57E4A" w:rsidSect="00944187">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2B" w:rsidRDefault="00B1772B" w:rsidP="00234C93">
      <w:pPr>
        <w:spacing w:after="0" w:line="240" w:lineRule="auto"/>
      </w:pPr>
      <w:r>
        <w:separator/>
      </w:r>
    </w:p>
  </w:endnote>
  <w:endnote w:type="continuationSeparator" w:id="0">
    <w:p w:rsidR="00B1772B" w:rsidRDefault="00B1772B" w:rsidP="0023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2B" w:rsidRDefault="00B1772B" w:rsidP="00234C93">
      <w:pPr>
        <w:spacing w:after="0" w:line="240" w:lineRule="auto"/>
      </w:pPr>
      <w:r>
        <w:separator/>
      </w:r>
    </w:p>
  </w:footnote>
  <w:footnote w:type="continuationSeparator" w:id="0">
    <w:p w:rsidR="00B1772B" w:rsidRDefault="00B1772B" w:rsidP="00234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3A"/>
    <w:rsid w:val="00234C93"/>
    <w:rsid w:val="003A3AE6"/>
    <w:rsid w:val="005D5FE1"/>
    <w:rsid w:val="008D5C3A"/>
    <w:rsid w:val="00944187"/>
    <w:rsid w:val="00B1772B"/>
    <w:rsid w:val="00B57E4A"/>
    <w:rsid w:val="00E5735D"/>
    <w:rsid w:val="00F5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C93"/>
  </w:style>
  <w:style w:type="paragraph" w:styleId="a5">
    <w:name w:val="footer"/>
    <w:basedOn w:val="a"/>
    <w:link w:val="a6"/>
    <w:uiPriority w:val="99"/>
    <w:unhideWhenUsed/>
    <w:rsid w:val="00234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C93"/>
  </w:style>
  <w:style w:type="paragraph" w:styleId="a5">
    <w:name w:val="footer"/>
    <w:basedOn w:val="a"/>
    <w:link w:val="a6"/>
    <w:uiPriority w:val="99"/>
    <w:unhideWhenUsed/>
    <w:rsid w:val="00234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03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920">
          <w:marLeft w:val="0"/>
          <w:marRight w:val="0"/>
          <w:marTop w:val="150"/>
          <w:marBottom w:val="150"/>
          <w:divBdr>
            <w:top w:val="none" w:sz="0" w:space="0" w:color="auto"/>
            <w:left w:val="none" w:sz="0" w:space="0" w:color="auto"/>
            <w:bottom w:val="none" w:sz="0" w:space="0" w:color="auto"/>
            <w:right w:val="none" w:sz="0" w:space="0" w:color="auto"/>
          </w:divBdr>
        </w:div>
        <w:div w:id="1588267900">
          <w:marLeft w:val="0"/>
          <w:marRight w:val="0"/>
          <w:marTop w:val="150"/>
          <w:marBottom w:val="150"/>
          <w:divBdr>
            <w:top w:val="none" w:sz="0" w:space="0" w:color="auto"/>
            <w:left w:val="none" w:sz="0" w:space="0" w:color="auto"/>
            <w:bottom w:val="none" w:sz="0" w:space="0" w:color="auto"/>
            <w:right w:val="none" w:sz="0" w:space="0" w:color="auto"/>
          </w:divBdr>
        </w:div>
        <w:div w:id="387723344">
          <w:marLeft w:val="0"/>
          <w:marRight w:val="0"/>
          <w:marTop w:val="150"/>
          <w:marBottom w:val="150"/>
          <w:divBdr>
            <w:top w:val="none" w:sz="0" w:space="0" w:color="auto"/>
            <w:left w:val="none" w:sz="0" w:space="0" w:color="auto"/>
            <w:bottom w:val="none" w:sz="0" w:space="0" w:color="auto"/>
            <w:right w:val="none" w:sz="0" w:space="0" w:color="auto"/>
          </w:divBdr>
        </w:div>
        <w:div w:id="2097632924">
          <w:marLeft w:val="0"/>
          <w:marRight w:val="0"/>
          <w:marTop w:val="150"/>
          <w:marBottom w:val="150"/>
          <w:divBdr>
            <w:top w:val="none" w:sz="0" w:space="0" w:color="auto"/>
            <w:left w:val="none" w:sz="0" w:space="0" w:color="auto"/>
            <w:bottom w:val="none" w:sz="0" w:space="0" w:color="auto"/>
            <w:right w:val="none" w:sz="0" w:space="0" w:color="auto"/>
          </w:divBdr>
        </w:div>
      </w:divsChild>
    </w:div>
    <w:div w:id="1626545877">
      <w:bodyDiv w:val="1"/>
      <w:marLeft w:val="0"/>
      <w:marRight w:val="0"/>
      <w:marTop w:val="0"/>
      <w:marBottom w:val="0"/>
      <w:divBdr>
        <w:top w:val="none" w:sz="0" w:space="0" w:color="auto"/>
        <w:left w:val="none" w:sz="0" w:space="0" w:color="auto"/>
        <w:bottom w:val="none" w:sz="0" w:space="0" w:color="auto"/>
        <w:right w:val="none" w:sz="0" w:space="0" w:color="auto"/>
      </w:divBdr>
      <w:divsChild>
        <w:div w:id="1757940926">
          <w:marLeft w:val="0"/>
          <w:marRight w:val="0"/>
          <w:marTop w:val="15"/>
          <w:marBottom w:val="225"/>
          <w:divBdr>
            <w:top w:val="none" w:sz="0" w:space="0" w:color="auto"/>
            <w:left w:val="none" w:sz="0" w:space="0" w:color="auto"/>
            <w:bottom w:val="none" w:sz="0" w:space="0" w:color="auto"/>
            <w:right w:val="none" w:sz="0" w:space="0" w:color="auto"/>
          </w:divBdr>
          <w:divsChild>
            <w:div w:id="523060639">
              <w:marLeft w:val="0"/>
              <w:marRight w:val="0"/>
              <w:marTop w:val="150"/>
              <w:marBottom w:val="150"/>
              <w:divBdr>
                <w:top w:val="none" w:sz="0" w:space="0" w:color="auto"/>
                <w:left w:val="none" w:sz="0" w:space="0" w:color="auto"/>
                <w:bottom w:val="none" w:sz="0" w:space="0" w:color="auto"/>
                <w:right w:val="none" w:sz="0" w:space="0" w:color="auto"/>
              </w:divBdr>
            </w:div>
            <w:div w:id="18971581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952</Words>
  <Characters>5430</Characters>
  <Application>Microsoft Office Word</Application>
  <DocSecurity>0</DocSecurity>
  <Lines>45</Lines>
  <Paragraphs>12</Paragraphs>
  <ScaleCrop>false</ScaleCrop>
  <Compan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2016-04-25T05:49:00Z</dcterms:created>
  <dcterms:modified xsi:type="dcterms:W3CDTF">2016-11-02T00:55:00Z</dcterms:modified>
</cp:coreProperties>
</file>